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18"/>
      </w:tblGrid>
      <w:tr w:rsidR="00125CC2" w:rsidRPr="00125CC2" w:rsidTr="00611885">
        <w:trPr>
          <w:trHeight w:val="806"/>
        </w:trPr>
        <w:tc>
          <w:tcPr>
            <w:tcW w:w="3686" w:type="dxa"/>
          </w:tcPr>
          <w:p w:rsidR="00565D39" w:rsidRPr="00125CC2" w:rsidRDefault="00565D39" w:rsidP="00C61783">
            <w:pPr>
              <w:jc w:val="center"/>
              <w:rPr>
                <w:b/>
                <w:sz w:val="26"/>
                <w:szCs w:val="26"/>
              </w:rPr>
            </w:pPr>
            <w:r w:rsidRPr="00125CC2">
              <w:rPr>
                <w:b/>
                <w:sz w:val="26"/>
                <w:szCs w:val="26"/>
              </w:rPr>
              <w:t>UBND XÃ ĐÔNG</w:t>
            </w:r>
          </w:p>
          <w:p w:rsidR="00565D39" w:rsidRPr="00125CC2" w:rsidRDefault="00565D39" w:rsidP="00C61783">
            <w:pPr>
              <w:jc w:val="center"/>
              <w:rPr>
                <w:b/>
                <w:sz w:val="26"/>
                <w:szCs w:val="26"/>
              </w:rPr>
            </w:pPr>
            <w:r w:rsidRPr="00125CC2">
              <w:rPr>
                <w:b/>
                <w:noProof/>
                <w:sz w:val="26"/>
                <w:szCs w:val="26"/>
              </w:rPr>
              <mc:AlternateContent>
                <mc:Choice Requires="wps">
                  <w:drawing>
                    <wp:anchor distT="0" distB="0" distL="114300" distR="114300" simplePos="0" relativeHeight="251659264" behindDoc="0" locked="0" layoutInCell="1" allowOverlap="1" wp14:anchorId="107905F4" wp14:editId="0DE60C21">
                      <wp:simplePos x="0" y="0"/>
                      <wp:positionH relativeFrom="column">
                        <wp:posOffset>660400</wp:posOffset>
                      </wp:positionH>
                      <wp:positionV relativeFrom="paragraph">
                        <wp:posOffset>196105</wp:posOffset>
                      </wp:positionV>
                      <wp:extent cx="103367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5.45pt" to="133.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" strokecolor="windowText"/>
                  </w:pict>
                </mc:Fallback>
              </mc:AlternateContent>
            </w:r>
            <w:r w:rsidRPr="00125CC2">
              <w:rPr>
                <w:b/>
                <w:sz w:val="26"/>
                <w:szCs w:val="26"/>
              </w:rPr>
              <w:t>BBT TRANG TTĐT XÃ</w:t>
            </w:r>
          </w:p>
        </w:tc>
        <w:tc>
          <w:tcPr>
            <w:tcW w:w="5918" w:type="dxa"/>
          </w:tcPr>
          <w:p w:rsidR="00565D39" w:rsidRPr="00125CC2" w:rsidRDefault="00565D39" w:rsidP="00C61783">
            <w:pPr>
              <w:jc w:val="center"/>
              <w:rPr>
                <w:b/>
                <w:sz w:val="26"/>
                <w:szCs w:val="26"/>
              </w:rPr>
            </w:pPr>
            <w:r w:rsidRPr="00125CC2">
              <w:rPr>
                <w:b/>
                <w:sz w:val="26"/>
                <w:szCs w:val="26"/>
              </w:rPr>
              <w:t>CỘNG HÒA XÃ HỘI CHỦ NGHĨA VIỆT NAM</w:t>
            </w:r>
          </w:p>
          <w:p w:rsidR="00565D39" w:rsidRPr="00125CC2" w:rsidRDefault="00565D39" w:rsidP="00C61783">
            <w:pPr>
              <w:jc w:val="center"/>
              <w:rPr>
                <w:b/>
                <w:sz w:val="26"/>
                <w:szCs w:val="26"/>
              </w:rPr>
            </w:pPr>
            <w:r w:rsidRPr="00125CC2">
              <w:rPr>
                <w:i/>
                <w:noProof/>
                <w:sz w:val="26"/>
                <w:szCs w:val="26"/>
              </w:rPr>
              <mc:AlternateContent>
                <mc:Choice Requires="wps">
                  <w:drawing>
                    <wp:anchor distT="0" distB="0" distL="114300" distR="114300" simplePos="0" relativeHeight="251660288" behindDoc="0" locked="0" layoutInCell="1" allowOverlap="1" wp14:anchorId="2A6DA633" wp14:editId="4B8DB12B">
                      <wp:simplePos x="0" y="0"/>
                      <wp:positionH relativeFrom="column">
                        <wp:posOffset>809625</wp:posOffset>
                      </wp:positionH>
                      <wp:positionV relativeFrom="paragraph">
                        <wp:posOffset>213360</wp:posOffset>
                      </wp:positionV>
                      <wp:extent cx="19951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6.8pt" to="220.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" strokecolor="windowText"/>
                  </w:pict>
                </mc:Fallback>
              </mc:AlternateContent>
            </w:r>
            <w:r w:rsidRPr="00125CC2">
              <w:rPr>
                <w:b/>
                <w:sz w:val="26"/>
                <w:szCs w:val="26"/>
              </w:rPr>
              <w:t>Độc lập – Tự do – Hạnh phúc</w:t>
            </w:r>
          </w:p>
        </w:tc>
      </w:tr>
    </w:tbl>
    <w:p w:rsidR="00565D39" w:rsidRPr="00125CC2" w:rsidRDefault="00611885" w:rsidP="00565D39">
      <w:pPr>
        <w:ind w:left="4320"/>
        <w:rPr>
          <w:i/>
          <w:sz w:val="28"/>
          <w:szCs w:val="28"/>
        </w:rPr>
      </w:pPr>
      <w:r w:rsidRPr="00125CC2">
        <w:rPr>
          <w:i/>
          <w:sz w:val="28"/>
          <w:szCs w:val="28"/>
        </w:rPr>
        <w:t xml:space="preserve">    </w:t>
      </w:r>
      <w:r w:rsidR="00565D39" w:rsidRPr="00125CC2">
        <w:rPr>
          <w:i/>
          <w:sz w:val="28"/>
          <w:szCs w:val="28"/>
        </w:rPr>
        <w:t>Xã Đông, ngày  08  tháng 7  năm 2022</w:t>
      </w:r>
    </w:p>
    <w:p w:rsidR="00565D39" w:rsidRPr="00125CC2" w:rsidRDefault="00565D39" w:rsidP="00565D39">
      <w:pPr>
        <w:ind w:right="686" w:firstLine="567"/>
        <w:jc w:val="center"/>
        <w:rPr>
          <w:b/>
          <w:sz w:val="28"/>
          <w:szCs w:val="28"/>
        </w:rPr>
      </w:pPr>
    </w:p>
    <w:p w:rsidR="00565D39" w:rsidRPr="00125CC2" w:rsidRDefault="00565D39" w:rsidP="00565D39">
      <w:pPr>
        <w:ind w:right="686" w:firstLine="567"/>
        <w:jc w:val="center"/>
        <w:rPr>
          <w:b/>
          <w:sz w:val="28"/>
          <w:szCs w:val="28"/>
        </w:rPr>
      </w:pPr>
      <w:r w:rsidRPr="00125CC2">
        <w:rPr>
          <w:b/>
          <w:sz w:val="28"/>
          <w:szCs w:val="28"/>
        </w:rPr>
        <w:t>CHUYÊN MỤC PHỔ BIẾN GIÁO DỤC PHÁP LUẬT TRÊN TRANG THÔNG TIN ĐIỆN TỬ UBND XÃ ĐÔNG</w:t>
      </w:r>
    </w:p>
    <w:p w:rsidR="00565D39" w:rsidRPr="00125CC2" w:rsidRDefault="00565D39" w:rsidP="00565D39">
      <w:pPr>
        <w:shd w:val="clear" w:color="auto" w:fill="FFFFFF"/>
        <w:spacing w:after="120"/>
        <w:ind w:firstLine="567"/>
        <w:jc w:val="both"/>
        <w:outlineLvl w:val="1"/>
        <w:rPr>
          <w:rFonts w:eastAsia="Times New Roman" w:cs="Times New Roman"/>
          <w:b/>
          <w:bCs/>
          <w:sz w:val="28"/>
          <w:szCs w:val="28"/>
        </w:rPr>
      </w:pPr>
    </w:p>
    <w:p w:rsidR="00565D39" w:rsidRPr="00125CC2" w:rsidRDefault="00565D39" w:rsidP="00A0026F">
      <w:pPr>
        <w:shd w:val="clear" w:color="auto" w:fill="FFFFFF"/>
        <w:ind w:firstLine="567"/>
        <w:jc w:val="both"/>
        <w:outlineLvl w:val="1"/>
        <w:rPr>
          <w:rFonts w:eastAsia="Times New Roman" w:cs="Times New Roman"/>
          <w:spacing w:val="8"/>
          <w:sz w:val="28"/>
          <w:szCs w:val="28"/>
        </w:rPr>
      </w:pPr>
      <w:r w:rsidRPr="00125CC2">
        <w:rPr>
          <w:rFonts w:eastAsia="Times New Roman" w:cs="Times New Roman"/>
          <w:spacing w:val="8"/>
          <w:sz w:val="28"/>
          <w:szCs w:val="28"/>
        </w:rPr>
        <w:t>Hỏi: Có được xây dựng nhà ở trên đất nông nghiệp?</w:t>
      </w:r>
    </w:p>
    <w:p w:rsidR="00565D39" w:rsidRPr="00125CC2" w:rsidRDefault="00565D39" w:rsidP="00A0026F">
      <w:pPr>
        <w:shd w:val="clear" w:color="auto" w:fill="FFFFFF"/>
        <w:ind w:firstLine="567"/>
        <w:jc w:val="both"/>
        <w:rPr>
          <w:rFonts w:eastAsia="Times New Roman" w:cs="Times New Roman"/>
          <w:b/>
          <w:spacing w:val="8"/>
          <w:sz w:val="28"/>
          <w:szCs w:val="28"/>
        </w:rPr>
      </w:pPr>
      <w:r w:rsidRPr="00125CC2">
        <w:rPr>
          <w:rFonts w:eastAsia="Times New Roman" w:cs="Times New Roman"/>
          <w:b/>
          <w:spacing w:val="8"/>
          <w:sz w:val="28"/>
          <w:szCs w:val="28"/>
        </w:rPr>
        <w:t>Trả lời:</w:t>
      </w:r>
    </w:p>
    <w:p w:rsidR="00565D39" w:rsidRPr="00125CC2" w:rsidRDefault="00565D39" w:rsidP="00A0026F">
      <w:pPr>
        <w:shd w:val="clear" w:color="auto" w:fill="FFFFFF"/>
        <w:ind w:firstLine="567"/>
        <w:jc w:val="both"/>
        <w:rPr>
          <w:rFonts w:eastAsia="Times New Roman" w:cs="Times New Roman"/>
          <w:spacing w:val="8"/>
          <w:sz w:val="28"/>
          <w:szCs w:val="28"/>
        </w:rPr>
      </w:pPr>
      <w:r w:rsidRPr="00125CC2">
        <w:rPr>
          <w:rFonts w:eastAsia="Times New Roman" w:cs="Times New Roman"/>
          <w:spacing w:val="8"/>
          <w:sz w:val="28"/>
          <w:szCs w:val="28"/>
        </w:rPr>
        <w:t>Theo quy định tại điểm a khoản 2 Điều 10 </w:t>
      </w:r>
      <w:hyperlink r:id="rId5" w:history="1">
        <w:r w:rsidRPr="00125CC2">
          <w:rPr>
            <w:rFonts w:eastAsia="Times New Roman" w:cs="Times New Roman"/>
            <w:spacing w:val="8"/>
            <w:sz w:val="28"/>
            <w:szCs w:val="28"/>
          </w:rPr>
          <w:t>Luật Đất đai năm 2013 </w:t>
        </w:r>
      </w:hyperlink>
      <w:r w:rsidRPr="00125CC2">
        <w:rPr>
          <w:rFonts w:eastAsia="Times New Roman" w:cs="Times New Roman"/>
          <w:spacing w:val="8"/>
          <w:sz w:val="28"/>
          <w:szCs w:val="28"/>
        </w:rPr>
        <w:t>thì đất phi nông nghiệp bao gồm các loại đất: “Đất ở gồm đất ở tại nông thôn, đất ở tại đô thị”</w:t>
      </w:r>
    </w:p>
    <w:p w:rsidR="00565D39" w:rsidRPr="00125CC2" w:rsidRDefault="00565D39" w:rsidP="00A0026F">
      <w:pPr>
        <w:shd w:val="clear" w:color="auto" w:fill="FFFFFF"/>
        <w:ind w:firstLine="567"/>
        <w:jc w:val="both"/>
        <w:rPr>
          <w:rFonts w:eastAsia="Times New Roman" w:cs="Times New Roman"/>
          <w:spacing w:val="8"/>
          <w:sz w:val="28"/>
          <w:szCs w:val="28"/>
        </w:rPr>
      </w:pPr>
      <w:r w:rsidRPr="00125CC2">
        <w:rPr>
          <w:rFonts w:eastAsia="Times New Roman" w:cs="Times New Roman"/>
          <w:spacing w:val="8"/>
          <w:sz w:val="28"/>
          <w:szCs w:val="28"/>
        </w:rPr>
        <w:t>Theo quy định tại khoản 1 Điều 143 </w:t>
      </w:r>
      <w:hyperlink r:id="rId6" w:history="1">
        <w:r w:rsidRPr="00125CC2">
          <w:rPr>
            <w:rFonts w:eastAsia="Times New Roman" w:cs="Times New Roman"/>
            <w:spacing w:val="8"/>
            <w:sz w:val="28"/>
            <w:szCs w:val="28"/>
          </w:rPr>
          <w:t>Luật Đất đai năm 2013 </w:t>
        </w:r>
      </w:hyperlink>
      <w:r w:rsidRPr="00125CC2">
        <w:rPr>
          <w:rFonts w:eastAsia="Times New Roman" w:cs="Times New Roman"/>
          <w:spacing w:val="8"/>
          <w:sz w:val="28"/>
          <w:szCs w:val="28"/>
        </w:rPr>
        <w:t>thì “Đất ở do hộ gia đình, cá nhân đang sử dụng tại nông thôn gồm đất để xây dựng nhà ở, xây dựng các công trình phục vụ đời sống, vườn, ao trong cùng thửa đất thuộc khu dân cư nông thôn, phù hợp với quy hoạch sử dụng đất, quy hoạch xây dựng điểm dân cư nông thôn đã được cơ quan nhà nước có thẩm quyền phê duyệt”.</w:t>
      </w:r>
    </w:p>
    <w:p w:rsidR="00565D39" w:rsidRPr="00125CC2" w:rsidRDefault="00565D39" w:rsidP="00A0026F">
      <w:pPr>
        <w:shd w:val="clear" w:color="auto" w:fill="FFFFFF"/>
        <w:ind w:firstLine="567"/>
        <w:jc w:val="both"/>
        <w:rPr>
          <w:rFonts w:eastAsia="Times New Roman" w:cs="Times New Roman"/>
          <w:spacing w:val="8"/>
          <w:sz w:val="28"/>
          <w:szCs w:val="28"/>
        </w:rPr>
      </w:pPr>
      <w:r w:rsidRPr="00125CC2">
        <w:rPr>
          <w:rFonts w:eastAsia="Times New Roman" w:cs="Times New Roman"/>
          <w:spacing w:val="8"/>
          <w:sz w:val="28"/>
          <w:szCs w:val="28"/>
        </w:rPr>
        <w:t>Theo quy định tại khoản 1 Điều 144 </w:t>
      </w:r>
      <w:hyperlink r:id="rId7" w:history="1">
        <w:r w:rsidRPr="00125CC2">
          <w:rPr>
            <w:rFonts w:eastAsia="Times New Roman" w:cs="Times New Roman"/>
            <w:spacing w:val="8"/>
            <w:sz w:val="28"/>
            <w:szCs w:val="28"/>
          </w:rPr>
          <w:t>Luật Đất đai năm 2013</w:t>
        </w:r>
      </w:hyperlink>
      <w:r w:rsidRPr="00125CC2">
        <w:rPr>
          <w:rFonts w:eastAsia="Times New Roman" w:cs="Times New Roman"/>
          <w:spacing w:val="8"/>
          <w:sz w:val="28"/>
          <w:szCs w:val="28"/>
        </w:rPr>
        <w:t> thì “Đất ở tại đô thị bao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565D39" w:rsidRPr="00125CC2" w:rsidRDefault="00565D39" w:rsidP="00A0026F">
      <w:pPr>
        <w:shd w:val="clear" w:color="auto" w:fill="FFFFFF"/>
        <w:ind w:firstLine="567"/>
        <w:jc w:val="both"/>
        <w:rPr>
          <w:rFonts w:eastAsia="Times New Roman" w:cs="Times New Roman"/>
          <w:spacing w:val="8"/>
          <w:sz w:val="28"/>
          <w:szCs w:val="28"/>
        </w:rPr>
      </w:pPr>
      <w:r w:rsidRPr="00125CC2">
        <w:rPr>
          <w:rFonts w:eastAsia="Times New Roman" w:cs="Times New Roman"/>
          <w:spacing w:val="8"/>
          <w:sz w:val="28"/>
          <w:szCs w:val="28"/>
        </w:rPr>
        <w:t>Theo quy định tại khoản 1 Điều 6 </w:t>
      </w:r>
      <w:hyperlink r:id="rId8" w:history="1">
        <w:r w:rsidRPr="00125CC2">
          <w:rPr>
            <w:rFonts w:eastAsia="Times New Roman" w:cs="Times New Roman"/>
            <w:spacing w:val="8"/>
            <w:sz w:val="28"/>
            <w:szCs w:val="28"/>
          </w:rPr>
          <w:t>Luật Đất đai năm 2013</w:t>
        </w:r>
      </w:hyperlink>
      <w:r w:rsidRPr="00125CC2">
        <w:rPr>
          <w:rFonts w:eastAsia="Times New Roman" w:cs="Times New Roman"/>
          <w:spacing w:val="8"/>
          <w:sz w:val="28"/>
          <w:szCs w:val="28"/>
        </w:rPr>
        <w:t> về nguyên tắc sử dụng đất thì “Đúng quy hoạch, kế hoạch sử dụng đất và đúng mục đích sử dụng đất”.</w:t>
      </w:r>
    </w:p>
    <w:p w:rsidR="00565D39" w:rsidRPr="00125CC2" w:rsidRDefault="00565D39" w:rsidP="00A0026F">
      <w:pPr>
        <w:shd w:val="clear" w:color="auto" w:fill="FFFFFF"/>
        <w:ind w:firstLine="567"/>
        <w:jc w:val="both"/>
        <w:rPr>
          <w:rFonts w:eastAsia="Times New Roman" w:cs="Times New Roman"/>
          <w:spacing w:val="8"/>
          <w:sz w:val="28"/>
          <w:szCs w:val="28"/>
        </w:rPr>
      </w:pPr>
      <w:r w:rsidRPr="00125CC2">
        <w:rPr>
          <w:rFonts w:eastAsia="Times New Roman" w:cs="Times New Roman"/>
          <w:spacing w:val="8"/>
          <w:sz w:val="28"/>
          <w:szCs w:val="28"/>
        </w:rPr>
        <w:t>Theo đó, Nhà nước phân loại đất là để dễ quản lý bên cạnh xác định quyền và nghĩa vụ của người sử dụng đất. Mỗi loại đất khác nhau, người sử dụng đất sẽ có nghĩa vụ riêng biệt, tuy nhiên nghĩa vụ chung của người sử dụng đất là sử dụng đúng mục đích, đúng ranh giới thửa đất, đúng quy hoạch và kế hoạch mà cơ quan Nhà nước đã phê duyệt.</w:t>
      </w:r>
    </w:p>
    <w:p w:rsidR="00565D39" w:rsidRPr="00125CC2" w:rsidRDefault="00565D39" w:rsidP="00A0026F">
      <w:pPr>
        <w:shd w:val="clear" w:color="auto" w:fill="FFFFFF"/>
        <w:ind w:firstLine="567"/>
        <w:jc w:val="both"/>
        <w:rPr>
          <w:rFonts w:eastAsia="Times New Roman" w:cs="Times New Roman"/>
          <w:spacing w:val="8"/>
          <w:sz w:val="28"/>
          <w:szCs w:val="28"/>
        </w:rPr>
      </w:pPr>
      <w:r w:rsidRPr="00125CC2">
        <w:rPr>
          <w:rFonts w:eastAsia="Times New Roman" w:cs="Times New Roman"/>
          <w:spacing w:val="8"/>
          <w:sz w:val="28"/>
          <w:szCs w:val="28"/>
        </w:rPr>
        <w:t xml:space="preserve">Như vậy, đất ở tại nông thôn, đất ở tại đô thị có mục đích sử dụng chính là dùng để xây dựng nhà ở. </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t>Đối với đất nông nghiệp Theo quy định tại khoản 1 Điều 10 </w:t>
      </w:r>
      <w:hyperlink r:id="rId9" w:history="1">
        <w:r w:rsidRPr="00125CC2">
          <w:rPr>
            <w:spacing w:val="8"/>
            <w:sz w:val="28"/>
            <w:szCs w:val="28"/>
          </w:rPr>
          <w:t>Luật Đất đai năm 2013</w:t>
        </w:r>
      </w:hyperlink>
      <w:r w:rsidRPr="00125CC2">
        <w:rPr>
          <w:spacing w:val="8"/>
          <w:sz w:val="28"/>
          <w:szCs w:val="28"/>
        </w:rPr>
        <w:t> thì đất nông nghiệp bao gồm các loại đất sau:</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t>– Đất trồng cây hàng năm gồm đất trồng lúa và đất trồng cây hàng năm khác;</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t>– Đất trồng cây lâu năm;</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t>– Đất rừng sản xuất;</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t>– Đất rừng phòng hộ;</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t>– Đất rừng đặc dụng;</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t>– Đất nuôi trồng thủy sản;</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t>– Đất làm muối;                     </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lastRenderedPageBreak/>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t>Như vậy, đất nông nghiệp là loại đất được Nhà nước giao cho người dân để phục vụ nhu cầu sản xuất nông nghiệp, bao gồm trồng trọt, chăn nuôi, trồng rừng..v..v. Đất nông nghiệp là tư liệ</w:t>
      </w:r>
      <w:bookmarkStart w:id="0" w:name="_GoBack"/>
      <w:bookmarkEnd w:id="0"/>
      <w:r w:rsidRPr="00125CC2">
        <w:rPr>
          <w:spacing w:val="8"/>
          <w:sz w:val="28"/>
          <w:szCs w:val="28"/>
        </w:rPr>
        <w:t xml:space="preserve">u sản xuất chủ yếu vừa là tài liệu lao động vừa là đối tượng lao động, và đặc biệt không thể thay thế được ngành nông – lâm nghiệp, là tiền đề của mọi quá trình sản xuất. Và không được phép xây dựng nhà ở trên loại đất này. </w:t>
      </w:r>
    </w:p>
    <w:p w:rsidR="00565D39" w:rsidRPr="00125CC2" w:rsidRDefault="00565D39" w:rsidP="00A0026F">
      <w:pPr>
        <w:pStyle w:val="NormalWeb"/>
        <w:shd w:val="clear" w:color="auto" w:fill="FFFFFF"/>
        <w:spacing w:before="0" w:beforeAutospacing="0" w:after="0" w:afterAutospacing="0"/>
        <w:ind w:firstLine="567"/>
        <w:jc w:val="both"/>
        <w:rPr>
          <w:spacing w:val="8"/>
          <w:sz w:val="28"/>
          <w:szCs w:val="28"/>
        </w:rPr>
      </w:pPr>
      <w:r w:rsidRPr="00125CC2">
        <w:rPr>
          <w:spacing w:val="8"/>
          <w:sz w:val="28"/>
          <w:szCs w:val="28"/>
        </w:rPr>
        <w:t>Vì vậy, việc xây dựng nhà ở trên đất nông nghiêp là trái quy định và bị xử phạt vi phạm hành chính theo quy định của pháp luật. </w:t>
      </w:r>
    </w:p>
    <w:p w:rsidR="00565D39" w:rsidRPr="00125CC2" w:rsidRDefault="00565D39" w:rsidP="00A0026F">
      <w:pPr>
        <w:shd w:val="clear" w:color="auto" w:fill="FFFFFF"/>
        <w:ind w:firstLine="567"/>
        <w:jc w:val="both"/>
        <w:rPr>
          <w:rFonts w:eastAsia="Times New Roman" w:cs="Times New Roman"/>
          <w:spacing w:val="8"/>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764"/>
      </w:tblGrid>
      <w:tr w:rsidR="00125CC2" w:rsidRPr="00125CC2" w:rsidTr="00C61783">
        <w:trPr>
          <w:trHeight w:val="3038"/>
        </w:trPr>
        <w:tc>
          <w:tcPr>
            <w:tcW w:w="4939" w:type="dxa"/>
          </w:tcPr>
          <w:p w:rsidR="00565D39" w:rsidRPr="00125CC2" w:rsidRDefault="00565D39" w:rsidP="00C61783">
            <w:pPr>
              <w:tabs>
                <w:tab w:val="left" w:pos="7911"/>
              </w:tabs>
              <w:rPr>
                <w:b/>
                <w:sz w:val="28"/>
                <w:szCs w:val="28"/>
              </w:rPr>
            </w:pPr>
            <w:r w:rsidRPr="00125CC2">
              <w:rPr>
                <w:b/>
                <w:sz w:val="28"/>
                <w:szCs w:val="28"/>
              </w:rPr>
              <w:t xml:space="preserve">        TM. BAN BIÊN TẬP</w:t>
            </w:r>
          </w:p>
          <w:p w:rsidR="00565D39" w:rsidRPr="00125CC2" w:rsidRDefault="00565D39" w:rsidP="00C61783">
            <w:pPr>
              <w:tabs>
                <w:tab w:val="left" w:pos="7911"/>
              </w:tabs>
              <w:rPr>
                <w:b/>
                <w:sz w:val="28"/>
                <w:szCs w:val="28"/>
              </w:rPr>
            </w:pPr>
            <w:r w:rsidRPr="00125CC2">
              <w:rPr>
                <w:b/>
                <w:sz w:val="28"/>
                <w:szCs w:val="28"/>
              </w:rPr>
              <w:t xml:space="preserve">           TRƯỞNG BAN</w:t>
            </w:r>
          </w:p>
          <w:p w:rsidR="00565D39" w:rsidRPr="00125CC2" w:rsidRDefault="00565D39" w:rsidP="00C61783">
            <w:pPr>
              <w:tabs>
                <w:tab w:val="left" w:pos="7911"/>
              </w:tabs>
              <w:jc w:val="center"/>
              <w:rPr>
                <w:b/>
                <w:sz w:val="28"/>
                <w:szCs w:val="28"/>
              </w:rPr>
            </w:pPr>
          </w:p>
          <w:p w:rsidR="00565D39" w:rsidRPr="00125CC2" w:rsidRDefault="00565D39" w:rsidP="00C61783">
            <w:pPr>
              <w:tabs>
                <w:tab w:val="left" w:pos="7911"/>
              </w:tabs>
              <w:jc w:val="center"/>
              <w:rPr>
                <w:b/>
                <w:sz w:val="28"/>
                <w:szCs w:val="28"/>
              </w:rPr>
            </w:pPr>
          </w:p>
          <w:p w:rsidR="00565D39" w:rsidRPr="00125CC2" w:rsidRDefault="00565D39" w:rsidP="00C61783">
            <w:pPr>
              <w:tabs>
                <w:tab w:val="left" w:pos="7911"/>
              </w:tabs>
              <w:jc w:val="center"/>
              <w:rPr>
                <w:b/>
                <w:sz w:val="28"/>
                <w:szCs w:val="28"/>
              </w:rPr>
            </w:pPr>
          </w:p>
          <w:p w:rsidR="00565D39" w:rsidRPr="00125CC2" w:rsidRDefault="00565D39" w:rsidP="00C61783">
            <w:pPr>
              <w:tabs>
                <w:tab w:val="left" w:pos="7911"/>
              </w:tabs>
              <w:jc w:val="center"/>
              <w:rPr>
                <w:b/>
                <w:sz w:val="28"/>
                <w:szCs w:val="28"/>
              </w:rPr>
            </w:pPr>
          </w:p>
          <w:p w:rsidR="00565D39" w:rsidRPr="00125CC2" w:rsidRDefault="00565D39" w:rsidP="00C61783">
            <w:pPr>
              <w:tabs>
                <w:tab w:val="left" w:pos="7911"/>
              </w:tabs>
              <w:rPr>
                <w:b/>
                <w:sz w:val="28"/>
                <w:szCs w:val="28"/>
              </w:rPr>
            </w:pPr>
            <w:r w:rsidRPr="00125CC2">
              <w:rPr>
                <w:b/>
                <w:sz w:val="28"/>
                <w:szCs w:val="28"/>
              </w:rPr>
              <w:t xml:space="preserve">         Nguyễn Thị Liên</w:t>
            </w:r>
          </w:p>
        </w:tc>
        <w:tc>
          <w:tcPr>
            <w:tcW w:w="4908" w:type="dxa"/>
          </w:tcPr>
          <w:p w:rsidR="00565D39" w:rsidRPr="00125CC2" w:rsidRDefault="00565D39" w:rsidP="00C61783">
            <w:pPr>
              <w:tabs>
                <w:tab w:val="left" w:pos="7911"/>
              </w:tabs>
              <w:jc w:val="center"/>
              <w:rPr>
                <w:b/>
                <w:sz w:val="28"/>
                <w:szCs w:val="28"/>
              </w:rPr>
            </w:pPr>
            <w:r w:rsidRPr="00125CC2">
              <w:rPr>
                <w:b/>
                <w:sz w:val="28"/>
                <w:szCs w:val="28"/>
              </w:rPr>
              <w:t xml:space="preserve">         </w:t>
            </w:r>
          </w:p>
          <w:p w:rsidR="00565D39" w:rsidRPr="00125CC2" w:rsidRDefault="00565D39" w:rsidP="00C61783">
            <w:pPr>
              <w:tabs>
                <w:tab w:val="left" w:pos="7911"/>
              </w:tabs>
              <w:jc w:val="center"/>
              <w:rPr>
                <w:b/>
                <w:sz w:val="28"/>
                <w:szCs w:val="28"/>
              </w:rPr>
            </w:pPr>
            <w:r w:rsidRPr="00125CC2">
              <w:rPr>
                <w:b/>
                <w:sz w:val="28"/>
                <w:szCs w:val="28"/>
              </w:rPr>
              <w:t xml:space="preserve">       Biên soạn</w:t>
            </w:r>
          </w:p>
          <w:p w:rsidR="00565D39" w:rsidRPr="00125CC2" w:rsidRDefault="00565D39" w:rsidP="00C61783">
            <w:pPr>
              <w:tabs>
                <w:tab w:val="left" w:pos="7911"/>
              </w:tabs>
              <w:jc w:val="center"/>
              <w:rPr>
                <w:b/>
                <w:sz w:val="28"/>
                <w:szCs w:val="28"/>
              </w:rPr>
            </w:pPr>
          </w:p>
          <w:p w:rsidR="00565D39" w:rsidRPr="00125CC2" w:rsidRDefault="00565D39" w:rsidP="00C61783">
            <w:pPr>
              <w:tabs>
                <w:tab w:val="left" w:pos="7911"/>
              </w:tabs>
              <w:jc w:val="center"/>
              <w:rPr>
                <w:b/>
                <w:sz w:val="28"/>
                <w:szCs w:val="28"/>
              </w:rPr>
            </w:pPr>
            <w:r w:rsidRPr="00125CC2">
              <w:rPr>
                <w:b/>
                <w:sz w:val="28"/>
                <w:szCs w:val="28"/>
              </w:rPr>
              <w:t xml:space="preserve">  </w:t>
            </w:r>
          </w:p>
          <w:p w:rsidR="00565D39" w:rsidRPr="00125CC2" w:rsidRDefault="00565D39" w:rsidP="00C61783">
            <w:pPr>
              <w:tabs>
                <w:tab w:val="left" w:pos="7911"/>
              </w:tabs>
              <w:jc w:val="center"/>
              <w:rPr>
                <w:b/>
                <w:sz w:val="28"/>
                <w:szCs w:val="28"/>
              </w:rPr>
            </w:pPr>
          </w:p>
          <w:p w:rsidR="00565D39" w:rsidRPr="00125CC2" w:rsidRDefault="00565D39" w:rsidP="00C61783">
            <w:pPr>
              <w:tabs>
                <w:tab w:val="left" w:pos="7911"/>
              </w:tabs>
              <w:jc w:val="center"/>
              <w:rPr>
                <w:b/>
                <w:sz w:val="28"/>
                <w:szCs w:val="28"/>
              </w:rPr>
            </w:pPr>
          </w:p>
          <w:p w:rsidR="00565D39" w:rsidRPr="00125CC2" w:rsidRDefault="00565D39" w:rsidP="00C61783">
            <w:pPr>
              <w:tabs>
                <w:tab w:val="left" w:pos="7911"/>
              </w:tabs>
              <w:jc w:val="center"/>
              <w:rPr>
                <w:b/>
                <w:sz w:val="28"/>
                <w:szCs w:val="28"/>
              </w:rPr>
            </w:pPr>
            <w:r w:rsidRPr="00125CC2">
              <w:rPr>
                <w:b/>
                <w:sz w:val="28"/>
                <w:szCs w:val="28"/>
              </w:rPr>
              <w:t xml:space="preserve">            Nguyễn Thành Công</w:t>
            </w:r>
          </w:p>
        </w:tc>
      </w:tr>
    </w:tbl>
    <w:p w:rsidR="00204FC0" w:rsidRPr="00125CC2" w:rsidRDefault="00204FC0"/>
    <w:sectPr w:rsidR="00204FC0" w:rsidRPr="00125CC2" w:rsidSect="00125CC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39"/>
    <w:rsid w:val="00125CC2"/>
    <w:rsid w:val="00204FC0"/>
    <w:rsid w:val="002777B6"/>
    <w:rsid w:val="00565D39"/>
    <w:rsid w:val="00611885"/>
    <w:rsid w:val="00851ADA"/>
    <w:rsid w:val="00A0026F"/>
    <w:rsid w:val="00A7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D3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5D39"/>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D3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5D3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lawfirm.vn/luat-dat-dai-nam-2013/" TargetMode="External"/><Relationship Id="rId3" Type="http://schemas.openxmlformats.org/officeDocument/2006/relationships/settings" Target="settings.xml"/><Relationship Id="rId7" Type="http://schemas.openxmlformats.org/officeDocument/2006/relationships/hyperlink" Target="https://dsplawfirm.vn/luat-dat-dai-nam-2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splawfirm.vn/luat-dat-dai-nam-2013/" TargetMode="External"/><Relationship Id="rId11" Type="http://schemas.openxmlformats.org/officeDocument/2006/relationships/theme" Target="theme/theme1.xml"/><Relationship Id="rId5" Type="http://schemas.openxmlformats.org/officeDocument/2006/relationships/hyperlink" Target="https://dsplawfirm.vn/luat-dat-dai-nam-20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splawfirm.vn/luat-dat-dai-nam-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2022-07-11T09:59:00Z</dcterms:created>
  <dcterms:modified xsi:type="dcterms:W3CDTF">2022-07-11T09:59:00Z</dcterms:modified>
</cp:coreProperties>
</file>